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5F" w:rsidRPr="00A85466" w:rsidRDefault="00403C5F" w:rsidP="00410865">
      <w:pPr>
        <w:tabs>
          <w:tab w:val="left" w:pos="7149"/>
          <w:tab w:val="right" w:pos="9355"/>
        </w:tabs>
        <w:spacing w:line="240" w:lineRule="auto"/>
        <w:ind w:left="12049"/>
        <w:contextualSpacing/>
        <w:rPr>
          <w:rFonts w:ascii="Times New Roman" w:hAnsi="Times New Roman"/>
          <w:sz w:val="20"/>
          <w:szCs w:val="20"/>
        </w:rPr>
      </w:pPr>
      <w:r w:rsidRPr="00A85466">
        <w:rPr>
          <w:rFonts w:ascii="Times New Roman" w:hAnsi="Times New Roman"/>
          <w:sz w:val="20"/>
          <w:szCs w:val="20"/>
        </w:rPr>
        <w:t>УТВЕРЖДЕН</w:t>
      </w:r>
    </w:p>
    <w:p w:rsidR="00410865" w:rsidRPr="00A85466" w:rsidRDefault="00403C5F" w:rsidP="00410865">
      <w:pPr>
        <w:tabs>
          <w:tab w:val="left" w:pos="7149"/>
          <w:tab w:val="right" w:pos="9355"/>
        </w:tabs>
        <w:spacing w:line="240" w:lineRule="auto"/>
        <w:ind w:left="12049"/>
        <w:contextualSpacing/>
        <w:rPr>
          <w:rFonts w:ascii="Times New Roman" w:hAnsi="Times New Roman"/>
          <w:sz w:val="20"/>
          <w:szCs w:val="20"/>
        </w:rPr>
      </w:pPr>
      <w:r w:rsidRPr="00A85466">
        <w:rPr>
          <w:rFonts w:ascii="Times New Roman" w:hAnsi="Times New Roman"/>
          <w:sz w:val="20"/>
          <w:szCs w:val="20"/>
        </w:rPr>
        <w:t>п</w:t>
      </w:r>
      <w:r w:rsidR="00410865" w:rsidRPr="00A85466">
        <w:rPr>
          <w:rFonts w:ascii="Times New Roman" w:hAnsi="Times New Roman"/>
          <w:sz w:val="20"/>
          <w:szCs w:val="20"/>
        </w:rPr>
        <w:t>риказ</w:t>
      </w:r>
      <w:r w:rsidRPr="00A85466">
        <w:rPr>
          <w:rFonts w:ascii="Times New Roman" w:hAnsi="Times New Roman"/>
          <w:sz w:val="20"/>
          <w:szCs w:val="20"/>
        </w:rPr>
        <w:t>ом</w:t>
      </w:r>
      <w:r w:rsidR="00410865" w:rsidRPr="00A85466">
        <w:rPr>
          <w:rFonts w:ascii="Times New Roman" w:hAnsi="Times New Roman"/>
          <w:sz w:val="20"/>
          <w:szCs w:val="20"/>
        </w:rPr>
        <w:t xml:space="preserve"> ФНС России</w:t>
      </w:r>
    </w:p>
    <w:p w:rsidR="00410865" w:rsidRPr="00A85466" w:rsidRDefault="00410865" w:rsidP="00410865">
      <w:pPr>
        <w:tabs>
          <w:tab w:val="left" w:pos="7149"/>
          <w:tab w:val="right" w:pos="9355"/>
        </w:tabs>
        <w:spacing w:line="240" w:lineRule="auto"/>
        <w:ind w:left="12049"/>
        <w:contextualSpacing/>
        <w:rPr>
          <w:rFonts w:ascii="Times New Roman" w:hAnsi="Times New Roman"/>
          <w:sz w:val="20"/>
          <w:szCs w:val="20"/>
        </w:rPr>
      </w:pPr>
      <w:r w:rsidRPr="00A85466">
        <w:rPr>
          <w:rFonts w:ascii="Times New Roman" w:hAnsi="Times New Roman"/>
          <w:sz w:val="20"/>
          <w:szCs w:val="20"/>
        </w:rPr>
        <w:t xml:space="preserve">от </w:t>
      </w:r>
      <w:bookmarkStart w:id="0" w:name="_GoBack"/>
      <w:r w:rsidR="00481A7A" w:rsidRPr="00481A7A">
        <w:rPr>
          <w:rFonts w:ascii="Times New Roman" w:hAnsi="Times New Roman"/>
          <w:sz w:val="20"/>
          <w:szCs w:val="20"/>
          <w:u w:val="single"/>
        </w:rPr>
        <w:t>04.03.</w:t>
      </w:r>
      <w:r w:rsidRPr="00481A7A">
        <w:rPr>
          <w:rFonts w:ascii="Times New Roman" w:hAnsi="Times New Roman"/>
          <w:sz w:val="20"/>
          <w:szCs w:val="20"/>
          <w:u w:val="single"/>
        </w:rPr>
        <w:t>201</w:t>
      </w:r>
      <w:r w:rsidR="00A85466" w:rsidRPr="00481A7A">
        <w:rPr>
          <w:rFonts w:ascii="Times New Roman" w:hAnsi="Times New Roman"/>
          <w:sz w:val="20"/>
          <w:szCs w:val="20"/>
          <w:u w:val="single"/>
        </w:rPr>
        <w:t>9</w:t>
      </w:r>
      <w:r w:rsidRPr="00481A7A">
        <w:rPr>
          <w:rFonts w:ascii="Times New Roman" w:hAnsi="Times New Roman"/>
          <w:sz w:val="20"/>
          <w:szCs w:val="20"/>
          <w:u w:val="single"/>
        </w:rPr>
        <w:t> г.</w:t>
      </w:r>
      <w:bookmarkEnd w:id="0"/>
    </w:p>
    <w:p w:rsidR="00410865" w:rsidRPr="00A85466" w:rsidRDefault="00410865" w:rsidP="00410865">
      <w:pPr>
        <w:tabs>
          <w:tab w:val="left" w:pos="11340"/>
          <w:tab w:val="left" w:pos="114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85466">
        <w:rPr>
          <w:rFonts w:ascii="Times New Roman" w:hAnsi="Times New Roman"/>
          <w:sz w:val="20"/>
          <w:szCs w:val="20"/>
        </w:rPr>
        <w:tab/>
      </w:r>
      <w:r w:rsidRPr="00A85466">
        <w:rPr>
          <w:rFonts w:ascii="Times New Roman" w:hAnsi="Times New Roman"/>
          <w:sz w:val="20"/>
          <w:szCs w:val="20"/>
        </w:rPr>
        <w:tab/>
      </w:r>
      <w:r w:rsidRPr="00A85466">
        <w:rPr>
          <w:rFonts w:ascii="Times New Roman" w:hAnsi="Times New Roman"/>
          <w:sz w:val="20"/>
          <w:szCs w:val="20"/>
        </w:rPr>
        <w:tab/>
        <w:t>№</w:t>
      </w:r>
      <w:r w:rsidR="00481A7A" w:rsidRPr="00481A7A">
        <w:rPr>
          <w:rFonts w:ascii="Times New Roman" w:hAnsi="Times New Roman"/>
          <w:sz w:val="20"/>
          <w:szCs w:val="20"/>
          <w:u w:val="single"/>
        </w:rPr>
        <w:t>ММВ-7-17/110@</w:t>
      </w:r>
    </w:p>
    <w:p w:rsidR="00410865" w:rsidRPr="00A85466" w:rsidRDefault="00410865" w:rsidP="00622A4F">
      <w:pPr>
        <w:tabs>
          <w:tab w:val="left" w:pos="5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A4F" w:rsidRPr="00A85466" w:rsidRDefault="00622A4F" w:rsidP="00622A4F">
      <w:pPr>
        <w:tabs>
          <w:tab w:val="left" w:pos="5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466">
        <w:rPr>
          <w:rFonts w:ascii="Times New Roman" w:hAnsi="Times New Roman" w:cs="Times New Roman"/>
          <w:b/>
          <w:sz w:val="24"/>
          <w:szCs w:val="24"/>
        </w:rPr>
        <w:t>План работы ФНС Росси</w:t>
      </w:r>
      <w:r w:rsidR="00410865" w:rsidRPr="00A85466">
        <w:rPr>
          <w:rFonts w:ascii="Times New Roman" w:hAnsi="Times New Roman" w:cs="Times New Roman"/>
          <w:b/>
          <w:sz w:val="24"/>
          <w:szCs w:val="24"/>
        </w:rPr>
        <w:t>и с референтными группами в 201</w:t>
      </w:r>
      <w:r w:rsidR="00A85466" w:rsidRPr="00A85466">
        <w:rPr>
          <w:rFonts w:ascii="Times New Roman" w:hAnsi="Times New Roman" w:cs="Times New Roman"/>
          <w:b/>
          <w:sz w:val="24"/>
          <w:szCs w:val="24"/>
        </w:rPr>
        <w:t>9</w:t>
      </w:r>
      <w:r w:rsidR="00410865" w:rsidRPr="00A85466">
        <w:rPr>
          <w:rFonts w:ascii="Times New Roman" w:hAnsi="Times New Roman" w:cs="Times New Roman"/>
          <w:b/>
          <w:sz w:val="24"/>
          <w:szCs w:val="24"/>
        </w:rPr>
        <w:t> - 20</w:t>
      </w:r>
      <w:r w:rsidR="00A85466" w:rsidRPr="00A85466">
        <w:rPr>
          <w:rFonts w:ascii="Times New Roman" w:hAnsi="Times New Roman" w:cs="Times New Roman"/>
          <w:b/>
          <w:sz w:val="24"/>
          <w:szCs w:val="24"/>
        </w:rPr>
        <w:t>20</w:t>
      </w:r>
      <w:r w:rsidR="00410865" w:rsidRPr="00A8546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3F4CF1" w:rsidRPr="00A85466">
        <w:rPr>
          <w:rFonts w:ascii="Times New Roman" w:hAnsi="Times New Roman" w:cs="Times New Roman"/>
          <w:b/>
          <w:sz w:val="24"/>
          <w:szCs w:val="24"/>
        </w:rPr>
        <w:t>одах</w:t>
      </w:r>
    </w:p>
    <w:tbl>
      <w:tblPr>
        <w:tblStyle w:val="a3"/>
        <w:tblW w:w="16177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247"/>
        <w:gridCol w:w="2438"/>
        <w:gridCol w:w="2126"/>
        <w:gridCol w:w="2541"/>
        <w:gridCol w:w="1712"/>
        <w:gridCol w:w="1672"/>
        <w:gridCol w:w="30"/>
        <w:gridCol w:w="1692"/>
        <w:gridCol w:w="23"/>
        <w:gridCol w:w="7"/>
      </w:tblGrid>
      <w:tr w:rsidR="00DC3478" w:rsidRPr="00DC3478" w:rsidTr="000A3382">
        <w:trPr>
          <w:gridAfter w:val="1"/>
          <w:wAfter w:w="7" w:type="dxa"/>
          <w:trHeight w:val="70"/>
          <w:jc w:val="center"/>
        </w:trPr>
        <w:tc>
          <w:tcPr>
            <w:tcW w:w="703" w:type="dxa"/>
            <w:vMerge w:val="restart"/>
            <w:shd w:val="clear" w:color="auto" w:fill="auto"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Предмет взаимодействия 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shd w:val="clear" w:color="auto" w:fill="auto"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Референтные</w:t>
            </w:r>
          </w:p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Каналы взаимодействия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Инструменты взаимодействия</w:t>
            </w:r>
          </w:p>
        </w:tc>
        <w:tc>
          <w:tcPr>
            <w:tcW w:w="1715" w:type="dxa"/>
            <w:gridSpan w:val="2"/>
            <w:vMerge w:val="restart"/>
            <w:shd w:val="clear" w:color="auto" w:fill="auto"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</w:p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</w:p>
        </w:tc>
      </w:tr>
      <w:tr w:rsidR="00DC3478" w:rsidRPr="00DC3478" w:rsidTr="000A3382">
        <w:trPr>
          <w:gridAfter w:val="1"/>
          <w:wAfter w:w="7" w:type="dxa"/>
          <w:jc w:val="center"/>
        </w:trPr>
        <w:tc>
          <w:tcPr>
            <w:tcW w:w="703" w:type="dxa"/>
            <w:vMerge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702" w:type="dxa"/>
            <w:gridSpan w:val="2"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  <w:tc>
          <w:tcPr>
            <w:tcW w:w="1715" w:type="dxa"/>
            <w:gridSpan w:val="2"/>
            <w:vMerge/>
          </w:tcPr>
          <w:p w:rsidR="00C03DD0" w:rsidRPr="00DC3478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78" w:rsidRPr="00DC3478" w:rsidTr="000A3382">
        <w:trPr>
          <w:gridAfter w:val="1"/>
          <w:wAfter w:w="7" w:type="dxa"/>
          <w:trHeight w:val="283"/>
          <w:jc w:val="center"/>
        </w:trPr>
        <w:tc>
          <w:tcPr>
            <w:tcW w:w="16170" w:type="dxa"/>
            <w:gridSpan w:val="11"/>
          </w:tcPr>
          <w:p w:rsidR="00720660" w:rsidRPr="00DC3478" w:rsidRDefault="00720660" w:rsidP="0072066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3478">
              <w:rPr>
                <w:rFonts w:ascii="Times New Roman" w:hAnsi="Times New Roman" w:cs="Times New Roman"/>
                <w:sz w:val="24"/>
                <w:szCs w:val="24"/>
              </w:rPr>
              <w:t>. Контрольное управление</w:t>
            </w:r>
          </w:p>
        </w:tc>
      </w:tr>
      <w:tr w:rsidR="00DC3478" w:rsidRPr="00DC3478" w:rsidTr="000A3382">
        <w:trPr>
          <w:gridAfter w:val="1"/>
          <w:wAfter w:w="7" w:type="dxa"/>
          <w:jc w:val="center"/>
        </w:trPr>
        <w:tc>
          <w:tcPr>
            <w:tcW w:w="703" w:type="dxa"/>
          </w:tcPr>
          <w:p w:rsidR="00C03DD0" w:rsidRPr="00DC3478" w:rsidRDefault="00675AE6" w:rsidP="00C0243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6" w:type="dxa"/>
          </w:tcPr>
          <w:p w:rsidR="00C03DD0" w:rsidRPr="00DC3478" w:rsidRDefault="00C03DD0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проектов нормативных правовых актов, издаваемых на основании федеральных законов, вносящих изменения в Налоговый кодекс Российской Федерации  </w:t>
            </w:r>
          </w:p>
        </w:tc>
        <w:tc>
          <w:tcPr>
            <w:tcW w:w="1247" w:type="dxa"/>
          </w:tcPr>
          <w:p w:rsidR="00C03DD0" w:rsidRPr="00DC3478" w:rsidRDefault="00852F23" w:rsidP="0025294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410865"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25294D" w:rsidRPr="00DC34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10865" w:rsidRPr="00DC3478">
              <w:rPr>
                <w:rFonts w:ascii="Times New Roman" w:hAnsi="Times New Roman" w:cs="Times New Roman"/>
                <w:sz w:val="20"/>
                <w:szCs w:val="20"/>
              </w:rPr>
              <w:t> –20</w:t>
            </w:r>
            <w:r w:rsidR="0025294D" w:rsidRPr="00DC34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10865"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  <w:r w:rsidR="00C03DD0"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8" w:type="dxa"/>
          </w:tcPr>
          <w:p w:rsidR="00852F23" w:rsidRPr="00DC3478" w:rsidRDefault="00852F23" w:rsidP="00852F23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1. Прямые потребители </w:t>
            </w:r>
            <w:r w:rsidR="0025294D" w:rsidRPr="00DC3478">
              <w:rPr>
                <w:rFonts w:ascii="Times New Roman" w:hAnsi="Times New Roman" w:cs="Times New Roman"/>
                <w:sz w:val="20"/>
                <w:szCs w:val="20"/>
              </w:rPr>
              <w:t>результатов реализуемых</w:t>
            </w: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 ФНС России функций и предоставляемых услуг;</w:t>
            </w:r>
          </w:p>
          <w:p w:rsidR="008877B6" w:rsidRPr="00DC3478" w:rsidRDefault="00D0721F" w:rsidP="008877B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877B6" w:rsidRPr="00DC3478">
              <w:rPr>
                <w:rFonts w:ascii="Times New Roman" w:hAnsi="Times New Roman" w:cs="Times New Roman"/>
                <w:sz w:val="20"/>
                <w:szCs w:val="20"/>
              </w:rPr>
              <w:t>Представители органов государственной власти, органов местного самоуправления</w:t>
            </w:r>
          </w:p>
          <w:p w:rsidR="00C03DD0" w:rsidRPr="00DC3478" w:rsidRDefault="00C03DD0" w:rsidP="008877B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C03DD0" w:rsidRPr="00DC3478" w:rsidRDefault="00C03DD0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В зависимости от характера </w:t>
            </w:r>
            <w:r w:rsidR="006B2577"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внесения </w:t>
            </w: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изменений в Налоговый кодекс Российской Федерации: налогоплательщики</w:t>
            </w:r>
            <w:r w:rsidR="00942A69" w:rsidRPr="00DC34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 плательщики сборов, налоговые агенты, плательщики страховых взносов, банки, Банк России, Минэкономразвития России, Минюст России, Минфин России, Общественный совет</w:t>
            </w:r>
            <w:r w:rsidR="00AD6642"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94D" w:rsidRPr="00DC3478">
              <w:rPr>
                <w:rFonts w:ascii="Times New Roman" w:hAnsi="Times New Roman" w:cs="Times New Roman"/>
                <w:sz w:val="20"/>
                <w:szCs w:val="20"/>
              </w:rPr>
              <w:t>при ФНС</w:t>
            </w: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 xml:space="preserve"> России, Общественная палата </w:t>
            </w:r>
            <w:r w:rsidR="006B2577" w:rsidRPr="00DC3478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, Экспертный совет при Правительстве Росси</w:t>
            </w:r>
            <w:r w:rsidR="006B2577" w:rsidRPr="00DC3478">
              <w:rPr>
                <w:rFonts w:ascii="Times New Roman" w:hAnsi="Times New Roman" w:cs="Times New Roman"/>
                <w:sz w:val="20"/>
                <w:szCs w:val="20"/>
              </w:rPr>
              <w:t>йской Федерации</w:t>
            </w: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, Опора России, ТПП России, РСПП, представители профессиональных сообществ, иные субъекты</w:t>
            </w:r>
          </w:p>
        </w:tc>
        <w:tc>
          <w:tcPr>
            <w:tcW w:w="2541" w:type="dxa"/>
          </w:tcPr>
          <w:p w:rsidR="00C03DD0" w:rsidRPr="00DC3478" w:rsidRDefault="00C03DD0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Официальные средства взаимодействия для общественного обсуждения, оценки регулирующего воздействия и антикоррупционной экспертизы проектов нормативных правовых актов</w:t>
            </w:r>
          </w:p>
        </w:tc>
        <w:tc>
          <w:tcPr>
            <w:tcW w:w="1712" w:type="dxa"/>
          </w:tcPr>
          <w:p w:rsidR="00C03DD0" w:rsidRPr="00DC3478" w:rsidRDefault="008877B6" w:rsidP="00C0243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Федеральный портал проектов нормативных правовых актов</w:t>
            </w:r>
            <w:r w:rsidRPr="00DC3478">
              <w:t xml:space="preserve"> </w:t>
            </w:r>
            <w:hyperlink r:id="rId7" w:history="1">
              <w:r w:rsidR="00C03DD0" w:rsidRPr="00DC347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regulation</w:t>
              </w:r>
              <w:r w:rsidR="00C03DD0" w:rsidRPr="00DC347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C03DD0" w:rsidRPr="00DC347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proofErr w:type="spellEnd"/>
              <w:r w:rsidRPr="00DC347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C03DD0" w:rsidRPr="00DC347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C03DD0" w:rsidRPr="00DC3478" w:rsidRDefault="00C03DD0" w:rsidP="00C0243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DD0" w:rsidRPr="00DC3478" w:rsidRDefault="00C03DD0" w:rsidP="00C0243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C03DD0" w:rsidRPr="00DC3478" w:rsidRDefault="00044016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Замечания и предложения референтных групп, представленные по итогам общественного обсуждения проектов нормативных правовых актов</w:t>
            </w:r>
          </w:p>
        </w:tc>
        <w:tc>
          <w:tcPr>
            <w:tcW w:w="1715" w:type="dxa"/>
            <w:gridSpan w:val="2"/>
          </w:tcPr>
          <w:p w:rsidR="00C03DD0" w:rsidRPr="00DC3478" w:rsidRDefault="00C03DD0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478">
              <w:rPr>
                <w:rFonts w:ascii="Times New Roman" w:hAnsi="Times New Roman" w:cs="Times New Roman"/>
                <w:sz w:val="20"/>
                <w:szCs w:val="20"/>
              </w:rPr>
              <w:t>Экспертные обсуждения</w:t>
            </w:r>
          </w:p>
        </w:tc>
      </w:tr>
      <w:tr w:rsidR="001B12A5" w:rsidRPr="001B12A5" w:rsidTr="000A3382">
        <w:trPr>
          <w:gridAfter w:val="1"/>
          <w:wAfter w:w="7" w:type="dxa"/>
          <w:jc w:val="center"/>
        </w:trPr>
        <w:tc>
          <w:tcPr>
            <w:tcW w:w="16170" w:type="dxa"/>
            <w:gridSpan w:val="11"/>
          </w:tcPr>
          <w:p w:rsidR="00675AE6" w:rsidRPr="001B12A5" w:rsidRDefault="00675AE6" w:rsidP="00675AE6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1B12A5">
              <w:rPr>
                <w:rFonts w:ascii="Times New Roman" w:hAnsi="Times New Roman" w:cs="Times New Roman"/>
                <w:sz w:val="24"/>
                <w:szCs w:val="24"/>
              </w:rPr>
              <w:t>. Управление трансфертного ценообразования</w:t>
            </w:r>
          </w:p>
        </w:tc>
      </w:tr>
      <w:tr w:rsidR="001B12A5" w:rsidRPr="001B12A5" w:rsidTr="000A3382">
        <w:trPr>
          <w:gridAfter w:val="1"/>
          <w:wAfter w:w="7" w:type="dxa"/>
          <w:jc w:val="center"/>
        </w:trPr>
        <w:tc>
          <w:tcPr>
            <w:tcW w:w="703" w:type="dxa"/>
          </w:tcPr>
          <w:p w:rsidR="00EC4128" w:rsidRPr="001B12A5" w:rsidRDefault="00EC4128" w:rsidP="00EC4128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B12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6" w:type="dxa"/>
            <w:vMerge w:val="restart"/>
          </w:tcPr>
          <w:p w:rsidR="00EC4128" w:rsidRPr="001B12A5" w:rsidRDefault="00EC4128" w:rsidP="00EC4128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Проведение совещания-семинара по актуальным вопросам трансфертного ценообразования, а также совершенствования порядка обмена информацией с компетентными органами иностранных государств при международном налоговом сотрудничестве</w:t>
            </w:r>
          </w:p>
        </w:tc>
        <w:tc>
          <w:tcPr>
            <w:tcW w:w="1247" w:type="dxa"/>
          </w:tcPr>
          <w:p w:rsidR="00EC4128" w:rsidRPr="001B12A5" w:rsidRDefault="00EC4128" w:rsidP="00EC4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 xml:space="preserve">В течение 2019-2020 </w:t>
            </w:r>
            <w:r w:rsidR="00AC076E" w:rsidRPr="001B12A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2438" w:type="dxa"/>
          </w:tcPr>
          <w:p w:rsidR="001B12A5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 xml:space="preserve">1. Референтная группа ФНС России, выполняющая обеспечивающие функции (структурные подразделения центрального аппарата ФНС России, территориальные налоговые органы, организации, подведомственные ФНС России, информационные разработчики). </w:t>
            </w:r>
          </w:p>
          <w:p w:rsidR="00EC4128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2. Референтная группа ФНС России – представители органов государственной власти, органов местного самоуправления, Банк России</w:t>
            </w:r>
          </w:p>
        </w:tc>
        <w:tc>
          <w:tcPr>
            <w:tcW w:w="2126" w:type="dxa"/>
          </w:tcPr>
          <w:p w:rsidR="001B12A5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1.Структурные подразделения центрального аппарата ФНС России, территориальные налоговые органы. 2.Организация, подведомственная ФНС России (ФКУ «Налог - Сервис» ФНС России). 3.Информационный разработчик (АО «ГНИВЦ»).</w:t>
            </w:r>
          </w:p>
          <w:p w:rsidR="00EC4128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 xml:space="preserve"> 4. Представители органов исполнительной власти</w:t>
            </w:r>
          </w:p>
        </w:tc>
        <w:tc>
          <w:tcPr>
            <w:tcW w:w="2541" w:type="dxa"/>
          </w:tcPr>
          <w:p w:rsidR="001B12A5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 xml:space="preserve">Структурные подразделения центрального аппарата ФНС России, территориальные налоговые органы </w:t>
            </w:r>
          </w:p>
          <w:p w:rsidR="00EC4128" w:rsidRPr="001B12A5" w:rsidRDefault="00EC4128" w:rsidP="00EC4128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</w:tcPr>
          <w:p w:rsidR="001B12A5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Официальный сайт ФНС России,</w:t>
            </w:r>
          </w:p>
          <w:p w:rsidR="00EC4128" w:rsidRPr="001B12A5" w:rsidRDefault="00AC076E" w:rsidP="001B12A5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направление участникам</w:t>
            </w:r>
            <w:r w:rsidR="001B12A5" w:rsidRPr="001B12A5">
              <w:rPr>
                <w:rFonts w:ascii="Times New Roman" w:hAnsi="Times New Roman"/>
                <w:sz w:val="20"/>
                <w:szCs w:val="20"/>
              </w:rPr>
              <w:t xml:space="preserve"> референтных групп информации и материалов по вопросам совещания-семинара</w:t>
            </w:r>
          </w:p>
        </w:tc>
        <w:tc>
          <w:tcPr>
            <w:tcW w:w="1702" w:type="dxa"/>
            <w:gridSpan w:val="2"/>
            <w:vMerge w:val="restart"/>
          </w:tcPr>
          <w:p w:rsidR="00EC4128" w:rsidRPr="001B12A5" w:rsidRDefault="001B12A5" w:rsidP="00EC4128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Предложения участников референтных групп в ходе проведения и по итогам совещания-семинара</w:t>
            </w:r>
          </w:p>
        </w:tc>
        <w:tc>
          <w:tcPr>
            <w:tcW w:w="1715" w:type="dxa"/>
            <w:gridSpan w:val="2"/>
            <w:vMerge w:val="restart"/>
          </w:tcPr>
          <w:p w:rsidR="00EC4128" w:rsidRPr="001B12A5" w:rsidRDefault="001B12A5" w:rsidP="00EC4128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Совещание – семинар, информационные материалы</w:t>
            </w:r>
          </w:p>
        </w:tc>
      </w:tr>
      <w:tr w:rsidR="001B12A5" w:rsidRPr="001B12A5" w:rsidTr="000A3382">
        <w:trPr>
          <w:gridAfter w:val="1"/>
          <w:wAfter w:w="7" w:type="dxa"/>
          <w:jc w:val="center"/>
        </w:trPr>
        <w:tc>
          <w:tcPr>
            <w:tcW w:w="703" w:type="dxa"/>
          </w:tcPr>
          <w:p w:rsidR="00EC4128" w:rsidRPr="001B12A5" w:rsidRDefault="00EC4128" w:rsidP="00EC4128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B12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986" w:type="dxa"/>
            <w:vMerge/>
          </w:tcPr>
          <w:p w:rsidR="00EC4128" w:rsidRPr="001B12A5" w:rsidRDefault="00EC4128" w:rsidP="00EC4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C4128" w:rsidRPr="001B12A5" w:rsidRDefault="00EC4128" w:rsidP="00EC4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 xml:space="preserve">В течение 2019-2020 </w:t>
            </w:r>
            <w:r w:rsidR="00AC076E" w:rsidRPr="001B12A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2438" w:type="dxa"/>
          </w:tcPr>
          <w:p w:rsidR="001B12A5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 xml:space="preserve">1. Референтная группа ФНС России, выполняющая обеспечивающие функции (структурные подразделения центрального аппарата ФНС России, территориальные налоговые органы, организации, подведомственные ФНС России, информационные разработчики).                 </w:t>
            </w:r>
          </w:p>
          <w:p w:rsidR="00EC4128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 xml:space="preserve">2. Референтная группа ФНС России – представители международных организаций и налоговых </w:t>
            </w:r>
            <w:r w:rsidRPr="001B12A5">
              <w:rPr>
                <w:rFonts w:ascii="Times New Roman" w:hAnsi="Times New Roman"/>
                <w:sz w:val="20"/>
                <w:szCs w:val="20"/>
              </w:rPr>
              <w:lastRenderedPageBreak/>
              <w:t>органов иностранных государств</w:t>
            </w:r>
          </w:p>
        </w:tc>
        <w:tc>
          <w:tcPr>
            <w:tcW w:w="2126" w:type="dxa"/>
          </w:tcPr>
          <w:p w:rsidR="001B12A5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lastRenderedPageBreak/>
              <w:t>1.Структурные подразделения центрального аппарата ФНС России, территориальные налоговые органы.</w:t>
            </w:r>
          </w:p>
          <w:p w:rsidR="001B12A5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2. Международные организации, в которых ФНС России выступает в качестве наблюдателя,</w:t>
            </w:r>
          </w:p>
          <w:p w:rsidR="00EC4128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представители налоговых администраций стран СНГ</w:t>
            </w:r>
          </w:p>
        </w:tc>
        <w:tc>
          <w:tcPr>
            <w:tcW w:w="2541" w:type="dxa"/>
          </w:tcPr>
          <w:p w:rsidR="001B12A5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1.Структурные подразделения центрального аппарата ФНС России, территориальные налоговые органы.</w:t>
            </w:r>
          </w:p>
          <w:p w:rsidR="001B12A5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2. Международные организации, в которых ФНС России выступает в качестве наблюдателя,</w:t>
            </w:r>
          </w:p>
          <w:p w:rsidR="00EC4128" w:rsidRPr="001B12A5" w:rsidRDefault="001B12A5" w:rsidP="001B12A5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12A5">
              <w:rPr>
                <w:rFonts w:ascii="Times New Roman" w:hAnsi="Times New Roman"/>
                <w:sz w:val="20"/>
                <w:szCs w:val="20"/>
              </w:rPr>
              <w:t>представители налоговых администраций стран СНГ</w:t>
            </w:r>
          </w:p>
        </w:tc>
        <w:tc>
          <w:tcPr>
            <w:tcW w:w="1712" w:type="dxa"/>
            <w:vMerge/>
          </w:tcPr>
          <w:p w:rsidR="00EC4128" w:rsidRPr="001B12A5" w:rsidRDefault="00EC4128" w:rsidP="00EC4128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EC4128" w:rsidRPr="001B12A5" w:rsidRDefault="00EC4128" w:rsidP="00EC4128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</w:tcPr>
          <w:p w:rsidR="00EC4128" w:rsidRPr="001B12A5" w:rsidRDefault="00EC4128" w:rsidP="00EC4128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6CC" w:rsidRPr="009706CC" w:rsidTr="000A3382">
        <w:trPr>
          <w:gridAfter w:val="1"/>
          <w:wAfter w:w="7" w:type="dxa"/>
          <w:trHeight w:val="284"/>
          <w:jc w:val="center"/>
        </w:trPr>
        <w:tc>
          <w:tcPr>
            <w:tcW w:w="16170" w:type="dxa"/>
            <w:gridSpan w:val="11"/>
          </w:tcPr>
          <w:p w:rsidR="00EC4128" w:rsidRPr="009706CC" w:rsidRDefault="00EC4128" w:rsidP="00F219A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06C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9706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Управление камерального контроля</w:t>
            </w:r>
          </w:p>
        </w:tc>
      </w:tr>
      <w:tr w:rsidR="009706CC" w:rsidRPr="009706CC" w:rsidTr="000A3382">
        <w:trPr>
          <w:jc w:val="center"/>
        </w:trPr>
        <w:tc>
          <w:tcPr>
            <w:tcW w:w="703" w:type="dxa"/>
          </w:tcPr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986" w:type="dxa"/>
          </w:tcPr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Методологические и организационные вопросы осуществления камерального контроля и налогового мониторинга.</w:t>
            </w:r>
          </w:p>
        </w:tc>
        <w:tc>
          <w:tcPr>
            <w:tcW w:w="1247" w:type="dxa"/>
          </w:tcPr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В течение 2019 - 2020гг.</w:t>
            </w:r>
          </w:p>
        </w:tc>
        <w:tc>
          <w:tcPr>
            <w:tcW w:w="2438" w:type="dxa"/>
          </w:tcPr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1.Прямые потребители результатов реализуемых ФНС России функций и предоставляемых услуг.</w:t>
            </w:r>
          </w:p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706CC">
              <w:t xml:space="preserve"> </w:t>
            </w: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Референтные группы ФНС России - представители органов государственной власти, органов местного самоуправления.</w:t>
            </w:r>
          </w:p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706CC">
              <w:t xml:space="preserve"> </w:t>
            </w: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Референтные группы ФНС России, выполняющие обеспечивающие функции.</w:t>
            </w:r>
          </w:p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706CC">
              <w:t xml:space="preserve"> </w:t>
            </w: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Референтные группы ФНС России -  представители научно-исследовательского и образовательного сообщества.</w:t>
            </w:r>
          </w:p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5. Референтные группы ФНС России -  представители международных организаций и налоговых органов иностранных государств.</w:t>
            </w:r>
          </w:p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706CC">
              <w:t xml:space="preserve"> </w:t>
            </w: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Иные референтные группы ФНС России.</w:t>
            </w:r>
          </w:p>
        </w:tc>
        <w:tc>
          <w:tcPr>
            <w:tcW w:w="2126" w:type="dxa"/>
          </w:tcPr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Юридические лица (крупнейшие налогоплательщики); юридические лица (представители малого и среднего предпринимательства); индивидуальные предприниматели; физические лица; нотариусы, занимающиеся частной практикой; адвокаты, учредившие адвокатские кабинеты;</w:t>
            </w:r>
          </w:p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 xml:space="preserve">крестьянские (фермерские) хозяйства; федеральные и региональные органы законодательной и исполнительной власти; органы местного самоуправления; органы государственных внебюджетных фондов; </w:t>
            </w:r>
            <w:r w:rsidRPr="009706CC">
              <w:rPr>
                <w:rFonts w:ascii="Times New Roman" w:hAnsi="Times New Roman"/>
                <w:sz w:val="20"/>
                <w:szCs w:val="20"/>
              </w:rPr>
              <w:t xml:space="preserve">структурные подразделения центрального аппарата ФНС России; территориальные органы ФНС России; организации, </w:t>
            </w:r>
            <w:r w:rsidRPr="009706CC">
              <w:rPr>
                <w:rFonts w:ascii="Times New Roman" w:hAnsi="Times New Roman"/>
                <w:sz w:val="20"/>
                <w:szCs w:val="20"/>
              </w:rPr>
              <w:lastRenderedPageBreak/>
              <w:t>подведомственные ФНС России; представители СМИ; представители научно-исследовательского сообщества; представители международных организаций и налоговых органов иностранных государств; некоммерческие организации.</w:t>
            </w:r>
          </w:p>
        </w:tc>
        <w:tc>
          <w:tcPr>
            <w:tcW w:w="2541" w:type="dxa"/>
          </w:tcPr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1.Средства массовой информации.</w:t>
            </w:r>
          </w:p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2.Конференции, форумы, рабочие группы, семинары.</w:t>
            </w:r>
          </w:p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ФНС России; официальная переписка; адресная рассылка по участникам референтных групп; </w:t>
            </w:r>
            <w:r w:rsidRPr="009706C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электронная почта</w:t>
            </w: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gridSpan w:val="2"/>
          </w:tcPr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Предложения и замечания референтных групп, представленные в ходе и по итогам проведения мероприятия.</w:t>
            </w:r>
          </w:p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</w:rPr>
              <w:t>Официальная переписка.</w:t>
            </w:r>
          </w:p>
        </w:tc>
        <w:tc>
          <w:tcPr>
            <w:tcW w:w="1722" w:type="dxa"/>
            <w:gridSpan w:val="3"/>
          </w:tcPr>
          <w:p w:rsidR="009706CC" w:rsidRPr="009706CC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06C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Семинары, круглые столы, вебинары, экспертные обсуждения, переговоры, встречи, консультации.</w:t>
            </w:r>
          </w:p>
        </w:tc>
      </w:tr>
      <w:tr w:rsidR="00F100FE" w:rsidRPr="00F100FE" w:rsidTr="000A3382">
        <w:trPr>
          <w:gridAfter w:val="1"/>
          <w:wAfter w:w="7" w:type="dxa"/>
          <w:trHeight w:val="397"/>
          <w:jc w:val="center"/>
        </w:trPr>
        <w:tc>
          <w:tcPr>
            <w:tcW w:w="16170" w:type="dxa"/>
            <w:gridSpan w:val="11"/>
          </w:tcPr>
          <w:p w:rsidR="009706CC" w:rsidRPr="00F100FE" w:rsidRDefault="009706CC" w:rsidP="009706C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100FE">
              <w:rPr>
                <w:rFonts w:ascii="Times New Roman" w:hAnsi="Times New Roman" w:cs="Times New Roman"/>
                <w:sz w:val="24"/>
                <w:szCs w:val="24"/>
              </w:rPr>
              <w:t>. Управление международного сотрудничества и валютного контроля</w:t>
            </w:r>
          </w:p>
        </w:tc>
      </w:tr>
      <w:tr w:rsidR="009706CC" w:rsidRPr="00D33DCC" w:rsidTr="000A3382">
        <w:trPr>
          <w:jc w:val="center"/>
        </w:trPr>
        <w:tc>
          <w:tcPr>
            <w:tcW w:w="703" w:type="dxa"/>
          </w:tcPr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</w:t>
            </w: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Методологическое обеспечение вопросов, входящих в компетенцию Управления. Разработка проектов нормативных правовых актов, работ нормативно-методического характера.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Координация работы ФНС России в рамках работы проекта «Открытое правительство».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совещаний-семинаров с управлениями ФНС России по субъектам Российской Федерации по актуальным </w:t>
            </w:r>
            <w:r w:rsidRPr="00F10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эффективности деятельности и координации работы территориальных налоговых органов.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 xml:space="preserve">Вопросы участия ФНС России в международных организациях, двустороннем и многостороннем международном сотрудничестве по налоговым вопросам. 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информационного обмена и взаимодействия налоговых органов с органами и агентами валютного контроля, в рамках компетенции ФНС России и другие</w:t>
            </w:r>
          </w:p>
        </w:tc>
        <w:tc>
          <w:tcPr>
            <w:tcW w:w="1247" w:type="dxa"/>
          </w:tcPr>
          <w:p w:rsidR="009706CC" w:rsidRPr="00F100FE" w:rsidRDefault="009706CC" w:rsidP="009E33CB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201</w:t>
            </w:r>
            <w:r w:rsidR="009E33CB" w:rsidRPr="00F100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 - 20</w:t>
            </w:r>
            <w:r w:rsidR="009E33CB" w:rsidRPr="00F100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2438" w:type="dxa"/>
          </w:tcPr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1. Прямые потребители результатов реализуемых ФНС России функций и предоставляемых услуг.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2. Референтные группы, выполняющие обеспечивающие функции (структурные подразделения центрального аппарата ФНС России, территориальные налоговые органы, организации, подведомственные ФНС России,</w:t>
            </w:r>
            <w:r w:rsidR="00C16F66" w:rsidRPr="00F100F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разработчики).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3. Представители научно-исследовательского и образовательного сообщества.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4. Представители органов государственной власти, органов местного самоуправления.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Представители международных организаций и налоговых органов иностранных государств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Структурные подразделения центрального аппарата ФНС России и территориальных налоговых органов.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Представители научно-исследовательского сообщества.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Федеральные и региональные органы законодательной и исполнительной власти.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Информационный разработчик (АО “ГНИВЦ»);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Организация, подведомственная ФНС России (ФКУ «Налог-сервис» ФНС России).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 центр при Правительстве </w:t>
            </w:r>
            <w:r w:rsidRPr="00F10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организации (бюро, форумы, рабочие группы) 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1.Рабочие совещания, проводимые со структурными подразделениями центрального аппарата ФНС России, территориальных налоговых органов.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2. Конференции, форумы, рабочие группы, совещания.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3. Общественный совет при ФНС России.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4. Общественная палата Российской Федерации, Аналитический центр при Прав</w:t>
            </w:r>
            <w:r w:rsidR="00AE0555" w:rsidRPr="00F100FE">
              <w:rPr>
                <w:rFonts w:ascii="Times New Roman" w:hAnsi="Times New Roman" w:cs="Times New Roman"/>
                <w:sz w:val="20"/>
                <w:szCs w:val="20"/>
              </w:rPr>
              <w:t>ительстве Российской Федерации</w:t>
            </w: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5. Средства массовой информации.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 xml:space="preserve">6. Международные организации, форумы, рабочие группы, в которых ФНС России выступает в качестве </w:t>
            </w:r>
            <w:r w:rsidRPr="00F10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наблюдателя и членом которых является   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проекты (https://regulation.gov.ru/, http://programs.gov.ru/Portal/, http://data.gov.ru/, https://vashkontrol.ru/ и др.).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Официальный сайт ФНС России.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Площадки Аналитического центра при Правительстве Российской Федерации.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Декларационные и информационные кампании. 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 xml:space="preserve">Площадки проведения </w:t>
            </w:r>
            <w:r w:rsidRPr="00F10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международных форумов. 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Горячая линия.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Адресная рассылка по участникам референтных групп.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Официальная переписка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Обратная связь по общегосударственным проектам.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Официальная переписка.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Исследование удовлетворенности потребителей государственных и муниципальных услуг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3"/>
          </w:tcPr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 xml:space="preserve">Экспертные обсуждения. Переговоры, встречи. 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конкурсах, хакатонах по вопросам использования открытых данных ФНС России, проводимых Минфином России, Аналитическим центром при Правительстве Российской Федерации. Взаимодействие с информационными разработчиками. </w:t>
            </w:r>
            <w:r w:rsidRPr="00F10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совещаний-семинаров по вопросам, относящимся к компетенции Управления.</w:t>
            </w:r>
          </w:p>
          <w:p w:rsidR="009706CC" w:rsidRPr="00F100FE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00FE">
              <w:rPr>
                <w:rFonts w:ascii="Times New Roman" w:hAnsi="Times New Roman" w:cs="Times New Roman"/>
                <w:sz w:val="20"/>
                <w:szCs w:val="20"/>
              </w:rPr>
              <w:t>Анализ обращений налогоплательщиков</w:t>
            </w:r>
          </w:p>
        </w:tc>
      </w:tr>
      <w:tr w:rsidR="00DF7EAD" w:rsidRPr="00DF7EAD" w:rsidTr="000A3382">
        <w:trPr>
          <w:gridAfter w:val="1"/>
          <w:wAfter w:w="7" w:type="dxa"/>
          <w:trHeight w:val="321"/>
          <w:jc w:val="center"/>
        </w:trPr>
        <w:tc>
          <w:tcPr>
            <w:tcW w:w="16170" w:type="dxa"/>
            <w:gridSpan w:val="11"/>
          </w:tcPr>
          <w:p w:rsidR="009706CC" w:rsidRPr="00DF7EAD" w:rsidRDefault="009706CC" w:rsidP="009706C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EA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DF7EAD">
              <w:rPr>
                <w:rFonts w:ascii="Times New Roman" w:hAnsi="Times New Roman"/>
                <w:sz w:val="24"/>
                <w:szCs w:val="24"/>
              </w:rPr>
              <w:t>. Управление обеспечения процедур банкротства</w:t>
            </w:r>
          </w:p>
        </w:tc>
      </w:tr>
      <w:tr w:rsidR="00DF7EAD" w:rsidRPr="00DF7EAD" w:rsidTr="000A3382">
        <w:trPr>
          <w:jc w:val="center"/>
        </w:trPr>
        <w:tc>
          <w:tcPr>
            <w:tcW w:w="703" w:type="dxa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7E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F7EA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/>
                <w:sz w:val="20"/>
                <w:szCs w:val="20"/>
              </w:rPr>
              <w:t>Совершенствование практики применения законодательства о несостоятельности (банкротстве)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9706CC" w:rsidRPr="00DF7EAD" w:rsidRDefault="009706CC" w:rsidP="00DF7EAD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 w:cs="Times New Roman"/>
                <w:sz w:val="20"/>
                <w:szCs w:val="20"/>
              </w:rPr>
              <w:t>В течение 201</w:t>
            </w:r>
            <w:r w:rsidR="00DF7EAD" w:rsidRPr="00DF7E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F7EAD">
              <w:rPr>
                <w:rFonts w:ascii="Times New Roman" w:hAnsi="Times New Roman" w:cs="Times New Roman"/>
                <w:sz w:val="20"/>
                <w:szCs w:val="20"/>
              </w:rPr>
              <w:t> - 20</w:t>
            </w:r>
            <w:r w:rsidR="00DF7EAD" w:rsidRPr="00DF7E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F7EAD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2438" w:type="dxa"/>
            <w:shd w:val="clear" w:color="auto" w:fill="auto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/>
                <w:sz w:val="20"/>
                <w:szCs w:val="20"/>
              </w:rPr>
              <w:t>1. Прямые потребители результатов реализуемых ФНС России функций и предоставляемых услуг</w:t>
            </w:r>
          </w:p>
        </w:tc>
        <w:tc>
          <w:tcPr>
            <w:tcW w:w="2126" w:type="dxa"/>
            <w:shd w:val="clear" w:color="auto" w:fill="auto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/>
                <w:sz w:val="20"/>
                <w:szCs w:val="20"/>
              </w:rPr>
              <w:t>Саморегулируемые организации арбитражных управляющих и арбитражные управляющие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/>
                <w:sz w:val="20"/>
                <w:szCs w:val="20"/>
              </w:rPr>
              <w:t>Экспертный совет при ФНС России по совершенствованию практики применения законодательства о несостоятельности (банкротстве)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9706CC" w:rsidRPr="00DF7EAD" w:rsidRDefault="009706CC" w:rsidP="009706C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9706CC" w:rsidRPr="00DF7EAD" w:rsidRDefault="009706CC" w:rsidP="009706C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gridSpan w:val="3"/>
            <w:vMerge w:val="restart"/>
            <w:shd w:val="clear" w:color="auto" w:fill="auto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/>
                <w:sz w:val="20"/>
                <w:szCs w:val="20"/>
              </w:rPr>
              <w:t>Экспертные обсуждения</w:t>
            </w:r>
          </w:p>
        </w:tc>
      </w:tr>
      <w:tr w:rsidR="00DF7EAD" w:rsidRPr="00DF7EAD" w:rsidTr="000A3382">
        <w:trPr>
          <w:jc w:val="center"/>
        </w:trPr>
        <w:tc>
          <w:tcPr>
            <w:tcW w:w="703" w:type="dxa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E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IV.2</w:t>
            </w:r>
          </w:p>
        </w:tc>
        <w:tc>
          <w:tcPr>
            <w:tcW w:w="1986" w:type="dxa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/>
                <w:sz w:val="20"/>
                <w:szCs w:val="20"/>
              </w:rPr>
              <w:t>2. Представители органов государственной власти, органов местного самоуправления, а также Центральный банк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/>
                <w:sz w:val="20"/>
                <w:szCs w:val="20"/>
              </w:rPr>
              <w:t xml:space="preserve">Государственная Дума Российской Федерации </w:t>
            </w:r>
          </w:p>
        </w:tc>
        <w:tc>
          <w:tcPr>
            <w:tcW w:w="2541" w:type="dxa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AD" w:rsidRPr="00DF7EAD" w:rsidTr="000A3382">
        <w:trPr>
          <w:jc w:val="center"/>
        </w:trPr>
        <w:tc>
          <w:tcPr>
            <w:tcW w:w="703" w:type="dxa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E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IV.3</w:t>
            </w:r>
          </w:p>
        </w:tc>
        <w:tc>
          <w:tcPr>
            <w:tcW w:w="1986" w:type="dxa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/>
                <w:sz w:val="20"/>
                <w:szCs w:val="20"/>
              </w:rPr>
              <w:t>3. Представители научно-исследовательского и образовательного сообщества</w:t>
            </w:r>
          </w:p>
        </w:tc>
        <w:tc>
          <w:tcPr>
            <w:tcW w:w="2126" w:type="dxa"/>
            <w:shd w:val="clear" w:color="auto" w:fill="auto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/>
                <w:sz w:val="20"/>
                <w:szCs w:val="20"/>
              </w:rPr>
              <w:t>Финансовый университет при Правительстве Российской Федерации, Московский государственный юридический университет им. О.Е. Кутафина,</w:t>
            </w:r>
          </w:p>
        </w:tc>
        <w:tc>
          <w:tcPr>
            <w:tcW w:w="2541" w:type="dxa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3CB" w:rsidRPr="00DF7EAD" w:rsidTr="000A3382">
        <w:trPr>
          <w:jc w:val="center"/>
        </w:trPr>
        <w:tc>
          <w:tcPr>
            <w:tcW w:w="703" w:type="dxa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7E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IV.4</w:t>
            </w:r>
          </w:p>
        </w:tc>
        <w:tc>
          <w:tcPr>
            <w:tcW w:w="1986" w:type="dxa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/>
                <w:sz w:val="20"/>
                <w:szCs w:val="20"/>
              </w:rPr>
              <w:t>4. Иные референтные группы ФНС России</w:t>
            </w:r>
          </w:p>
        </w:tc>
        <w:tc>
          <w:tcPr>
            <w:tcW w:w="2126" w:type="dxa"/>
            <w:shd w:val="clear" w:color="auto" w:fill="auto"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DF7EAD">
              <w:rPr>
                <w:rFonts w:ascii="Times New Roman" w:hAnsi="Times New Roman"/>
                <w:sz w:val="20"/>
                <w:szCs w:val="20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2541" w:type="dxa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vMerge/>
          </w:tcPr>
          <w:p w:rsidR="009706CC" w:rsidRPr="00DF7EAD" w:rsidRDefault="009706CC" w:rsidP="009706C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AD" w:rsidRPr="00DF7EAD" w:rsidTr="000A3382">
        <w:trPr>
          <w:gridAfter w:val="1"/>
          <w:wAfter w:w="7" w:type="dxa"/>
          <w:jc w:val="center"/>
        </w:trPr>
        <w:tc>
          <w:tcPr>
            <w:tcW w:w="16170" w:type="dxa"/>
            <w:gridSpan w:val="11"/>
          </w:tcPr>
          <w:p w:rsidR="00201B30" w:rsidRPr="00704FA4" w:rsidRDefault="00201B30" w:rsidP="00F219AF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A4">
              <w:rPr>
                <w:rFonts w:ascii="Times New Roman" w:hAnsi="Times New Roman"/>
                <w:sz w:val="24"/>
                <w:szCs w:val="24"/>
              </w:rPr>
              <w:t>VI. Управление интерактивных сервисов</w:t>
            </w:r>
          </w:p>
        </w:tc>
      </w:tr>
      <w:tr w:rsidR="00201B30" w:rsidRPr="00201B30" w:rsidTr="000A3382">
        <w:trPr>
          <w:gridAfter w:val="2"/>
          <w:wAfter w:w="30" w:type="dxa"/>
          <w:jc w:val="center"/>
        </w:trPr>
        <w:tc>
          <w:tcPr>
            <w:tcW w:w="703" w:type="dxa"/>
          </w:tcPr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VI.1</w:t>
            </w:r>
          </w:p>
        </w:tc>
        <w:tc>
          <w:tcPr>
            <w:tcW w:w="1986" w:type="dxa"/>
          </w:tcPr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Методологическое обеспечение вопросов, входящих в компетенцию Управления. Разработка проектов нормативных правовых актов, работ нормативно-методического характера.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системы стандартов деятельности и менеджмента качества ФНС России и территориальных налоговых органов.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реализация политики ФНС России по организации работы </w:t>
            </w:r>
            <w:r w:rsidRPr="00201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налогоплательщиками, повышению качества и доступности государственных услуг.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совещаний-семинаров с управлениями ФНС России по субъектам Российской Федерации по актуальным вопросам эффективности деятельности и координации работы территориальных налоговых органов.</w:t>
            </w:r>
          </w:p>
        </w:tc>
        <w:tc>
          <w:tcPr>
            <w:tcW w:w="1247" w:type="dxa"/>
          </w:tcPr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2019 - 2020 гг.</w:t>
            </w:r>
          </w:p>
        </w:tc>
        <w:tc>
          <w:tcPr>
            <w:tcW w:w="2438" w:type="dxa"/>
          </w:tcPr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1. Прямые потребители результатов реализуемых ФНС России функций и предоставляемых услуг.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 xml:space="preserve">2. Референтные группы, выполняющие обеспечивающие функции (структурные подразделения центрального аппарата ФНС России, территориальные налоговые органы, организации, подведомственные ФНС России, информационные разработчики).  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3. Представители научно-исследовательского и образовательного сообщества.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4. Представители органов государственной власти, органов местного самоуправления.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Представители организаций по вопросам направления деятельности.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Структурные подразделения центрального аппарата ФНС России и территориальных налоговых органов.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Представители научно-исследовательского сообщества.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Федеральные и региональные органы законодательной и исполнительной власти.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Информационный разработчик (АО “ГНИВЦ»);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Организация, подведомственная ФНС России (ФКУ «Налог-сервис» ФНС России).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(бюро, форумы, рабочие группы) 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1.Рабочие совещания, проводимые со структурными подразделениями центрального аппарата ФНС России, территориальных налоговых органов.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2. Конференции, форумы, рабочие группы, совещания.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3. Общественный совет при ФНС России.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5. Средства массовой информации.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6. Организации, форумы, рабочие группы, в которых ФНС России выступает в качестве наблюдателя и членом которых является.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проекты (https://regulation.gov.ru/, http://programs.gov.ru/Portal/, http://data.gov.ru/, https://vashkontrol.ru/ и др.).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Официальный сайт ФНС России.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Декларационные и информационные кампании. 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 xml:space="preserve">Площадки проведения форумов. </w:t>
            </w:r>
          </w:p>
          <w:p w:rsidR="00201B30" w:rsidRPr="00201B30" w:rsidRDefault="007B5A95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Контакт-центр ФНС России</w:t>
            </w:r>
            <w:r w:rsidR="00DC1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 xml:space="preserve">Адресная рассылка по участникам </w:t>
            </w:r>
            <w:r w:rsidRPr="00201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референтных групп.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Официальная переписка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Обратная связь по общегосударственным проектам.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Официальная переписка.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 xml:space="preserve">Экспертные обсуждения. Переговоры, встречи. 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Участие в конкурсах, Взаимодействие с информационными разработчиками. Проведение совещаний-семинаров по вопросам, относящимся к компетенции Управления.</w:t>
            </w:r>
          </w:p>
          <w:p w:rsidR="00201B30" w:rsidRPr="00201B30" w:rsidRDefault="00201B30" w:rsidP="00F219A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1B30">
              <w:rPr>
                <w:rFonts w:ascii="Times New Roman" w:hAnsi="Times New Roman" w:cs="Times New Roman"/>
                <w:sz w:val="20"/>
                <w:szCs w:val="20"/>
              </w:rPr>
              <w:t>Анализ обращений налогоплательщиков</w:t>
            </w:r>
          </w:p>
        </w:tc>
      </w:tr>
    </w:tbl>
    <w:p w:rsidR="00EC4128" w:rsidRPr="00A83EB0" w:rsidRDefault="00EC4128" w:rsidP="00F80269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EC4128" w:rsidRPr="00A83EB0" w:rsidSect="006D2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B1" w:rsidRDefault="003C65B1" w:rsidP="006D2B0D">
      <w:pPr>
        <w:spacing w:after="0" w:line="240" w:lineRule="auto"/>
      </w:pPr>
      <w:r>
        <w:separator/>
      </w:r>
    </w:p>
  </w:endnote>
  <w:endnote w:type="continuationSeparator" w:id="0">
    <w:p w:rsidR="003C65B1" w:rsidRDefault="003C65B1" w:rsidP="006D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12" w:rsidRDefault="00C52B1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6E" w:rsidRPr="00C52B12" w:rsidRDefault="001E5A6E" w:rsidP="00C52B1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6E" w:rsidRPr="00C52B12" w:rsidRDefault="001E5A6E" w:rsidP="00C52B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B1" w:rsidRDefault="003C65B1" w:rsidP="006D2B0D">
      <w:pPr>
        <w:spacing w:after="0" w:line="240" w:lineRule="auto"/>
      </w:pPr>
      <w:r>
        <w:separator/>
      </w:r>
    </w:p>
  </w:footnote>
  <w:footnote w:type="continuationSeparator" w:id="0">
    <w:p w:rsidR="003C65B1" w:rsidRDefault="003C65B1" w:rsidP="006D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12" w:rsidRDefault="00C52B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532038"/>
      <w:docPartObj>
        <w:docPartGallery w:val="Page Numbers (Top of Page)"/>
        <w:docPartUnique/>
      </w:docPartObj>
    </w:sdtPr>
    <w:sdtEndPr/>
    <w:sdtContent>
      <w:p w:rsidR="006D2B0D" w:rsidRPr="001E5A6E" w:rsidRDefault="006D2B0D" w:rsidP="006D2B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A7A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12" w:rsidRDefault="00C52B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F7"/>
    <w:rsid w:val="00033EF2"/>
    <w:rsid w:val="000350A1"/>
    <w:rsid w:val="0004126D"/>
    <w:rsid w:val="00044016"/>
    <w:rsid w:val="000454AD"/>
    <w:rsid w:val="00066913"/>
    <w:rsid w:val="000850AF"/>
    <w:rsid w:val="00095F19"/>
    <w:rsid w:val="000A3382"/>
    <w:rsid w:val="000D2FF7"/>
    <w:rsid w:val="000E560A"/>
    <w:rsid w:val="00113419"/>
    <w:rsid w:val="00113F3F"/>
    <w:rsid w:val="00117443"/>
    <w:rsid w:val="00157ED7"/>
    <w:rsid w:val="00197FF5"/>
    <w:rsid w:val="001A0DB3"/>
    <w:rsid w:val="001B12A5"/>
    <w:rsid w:val="001B510E"/>
    <w:rsid w:val="001C52E1"/>
    <w:rsid w:val="001C6945"/>
    <w:rsid w:val="001D5DD3"/>
    <w:rsid w:val="001E0201"/>
    <w:rsid w:val="001E5A6E"/>
    <w:rsid w:val="001F11BB"/>
    <w:rsid w:val="00201B30"/>
    <w:rsid w:val="002356CD"/>
    <w:rsid w:val="0025294D"/>
    <w:rsid w:val="00262E6F"/>
    <w:rsid w:val="00267AB3"/>
    <w:rsid w:val="00271FF5"/>
    <w:rsid w:val="00285689"/>
    <w:rsid w:val="002A3B63"/>
    <w:rsid w:val="002B1295"/>
    <w:rsid w:val="002B20A7"/>
    <w:rsid w:val="002C145B"/>
    <w:rsid w:val="002D31C0"/>
    <w:rsid w:val="002F5802"/>
    <w:rsid w:val="00304CC7"/>
    <w:rsid w:val="00305136"/>
    <w:rsid w:val="00310C20"/>
    <w:rsid w:val="0032237B"/>
    <w:rsid w:val="00335F5F"/>
    <w:rsid w:val="003519CE"/>
    <w:rsid w:val="003B1BCC"/>
    <w:rsid w:val="003B36CA"/>
    <w:rsid w:val="003C0DAC"/>
    <w:rsid w:val="003C1103"/>
    <w:rsid w:val="003C1CCD"/>
    <w:rsid w:val="003C65B1"/>
    <w:rsid w:val="003D1A18"/>
    <w:rsid w:val="003F17A3"/>
    <w:rsid w:val="003F4CF1"/>
    <w:rsid w:val="00401E65"/>
    <w:rsid w:val="00403C5F"/>
    <w:rsid w:val="00410865"/>
    <w:rsid w:val="00430E1C"/>
    <w:rsid w:val="004311C1"/>
    <w:rsid w:val="004316A1"/>
    <w:rsid w:val="00452538"/>
    <w:rsid w:val="00455536"/>
    <w:rsid w:val="004710DB"/>
    <w:rsid w:val="00481A7A"/>
    <w:rsid w:val="00484A58"/>
    <w:rsid w:val="004A6E5F"/>
    <w:rsid w:val="004A7324"/>
    <w:rsid w:val="004C3E63"/>
    <w:rsid w:val="004C6629"/>
    <w:rsid w:val="004E6E9B"/>
    <w:rsid w:val="004F5FB2"/>
    <w:rsid w:val="00511FBB"/>
    <w:rsid w:val="00517559"/>
    <w:rsid w:val="005208F0"/>
    <w:rsid w:val="0052108F"/>
    <w:rsid w:val="00555D39"/>
    <w:rsid w:val="00570615"/>
    <w:rsid w:val="00590657"/>
    <w:rsid w:val="005B22E9"/>
    <w:rsid w:val="005C7FB7"/>
    <w:rsid w:val="005F7C0D"/>
    <w:rsid w:val="00606472"/>
    <w:rsid w:val="006168EB"/>
    <w:rsid w:val="00622A4F"/>
    <w:rsid w:val="00674A94"/>
    <w:rsid w:val="00675AE6"/>
    <w:rsid w:val="006A16A8"/>
    <w:rsid w:val="006B2577"/>
    <w:rsid w:val="006B6663"/>
    <w:rsid w:val="006C201D"/>
    <w:rsid w:val="006D2B0D"/>
    <w:rsid w:val="006F37B0"/>
    <w:rsid w:val="00704FA4"/>
    <w:rsid w:val="007121D4"/>
    <w:rsid w:val="00713F09"/>
    <w:rsid w:val="00720660"/>
    <w:rsid w:val="0073170D"/>
    <w:rsid w:val="00762615"/>
    <w:rsid w:val="007703FA"/>
    <w:rsid w:val="00784A68"/>
    <w:rsid w:val="0079478F"/>
    <w:rsid w:val="007B5A95"/>
    <w:rsid w:val="007C3934"/>
    <w:rsid w:val="007E2DE9"/>
    <w:rsid w:val="0081393B"/>
    <w:rsid w:val="00821ECC"/>
    <w:rsid w:val="00852F23"/>
    <w:rsid w:val="00853982"/>
    <w:rsid w:val="00861CA2"/>
    <w:rsid w:val="0088121F"/>
    <w:rsid w:val="00883C91"/>
    <w:rsid w:val="008877B6"/>
    <w:rsid w:val="008901BE"/>
    <w:rsid w:val="00895C8E"/>
    <w:rsid w:val="008A04C5"/>
    <w:rsid w:val="008F2E28"/>
    <w:rsid w:val="00906805"/>
    <w:rsid w:val="00936FF1"/>
    <w:rsid w:val="00942A69"/>
    <w:rsid w:val="009706CC"/>
    <w:rsid w:val="009841E8"/>
    <w:rsid w:val="00985456"/>
    <w:rsid w:val="009B31CA"/>
    <w:rsid w:val="009B6B13"/>
    <w:rsid w:val="009E33CB"/>
    <w:rsid w:val="009E3461"/>
    <w:rsid w:val="009F419D"/>
    <w:rsid w:val="009F6ADE"/>
    <w:rsid w:val="009F6F76"/>
    <w:rsid w:val="00A01805"/>
    <w:rsid w:val="00A04246"/>
    <w:rsid w:val="00A17996"/>
    <w:rsid w:val="00A20934"/>
    <w:rsid w:val="00A3515E"/>
    <w:rsid w:val="00A462C1"/>
    <w:rsid w:val="00A60BD9"/>
    <w:rsid w:val="00A612DF"/>
    <w:rsid w:val="00A83EB0"/>
    <w:rsid w:val="00A85466"/>
    <w:rsid w:val="00AA34CD"/>
    <w:rsid w:val="00AB79B6"/>
    <w:rsid w:val="00AC076E"/>
    <w:rsid w:val="00AC0C16"/>
    <w:rsid w:val="00AD6642"/>
    <w:rsid w:val="00AE0555"/>
    <w:rsid w:val="00AE3FEC"/>
    <w:rsid w:val="00AF07F0"/>
    <w:rsid w:val="00AF64EB"/>
    <w:rsid w:val="00B16950"/>
    <w:rsid w:val="00B2342E"/>
    <w:rsid w:val="00B36ED4"/>
    <w:rsid w:val="00B52BCC"/>
    <w:rsid w:val="00B55964"/>
    <w:rsid w:val="00B55AC7"/>
    <w:rsid w:val="00B7006D"/>
    <w:rsid w:val="00B803BE"/>
    <w:rsid w:val="00B82381"/>
    <w:rsid w:val="00BC5216"/>
    <w:rsid w:val="00BE66D6"/>
    <w:rsid w:val="00C02434"/>
    <w:rsid w:val="00C03DD0"/>
    <w:rsid w:val="00C0494D"/>
    <w:rsid w:val="00C14B61"/>
    <w:rsid w:val="00C16F66"/>
    <w:rsid w:val="00C40886"/>
    <w:rsid w:val="00C52B12"/>
    <w:rsid w:val="00C54570"/>
    <w:rsid w:val="00C7035A"/>
    <w:rsid w:val="00C838E8"/>
    <w:rsid w:val="00C8685F"/>
    <w:rsid w:val="00C92739"/>
    <w:rsid w:val="00CA60BC"/>
    <w:rsid w:val="00CA687E"/>
    <w:rsid w:val="00CB2CF1"/>
    <w:rsid w:val="00CC020E"/>
    <w:rsid w:val="00CC1CD7"/>
    <w:rsid w:val="00CE6753"/>
    <w:rsid w:val="00D018E1"/>
    <w:rsid w:val="00D0416F"/>
    <w:rsid w:val="00D0721F"/>
    <w:rsid w:val="00D33DCC"/>
    <w:rsid w:val="00D51DFF"/>
    <w:rsid w:val="00D61EEF"/>
    <w:rsid w:val="00D65C98"/>
    <w:rsid w:val="00D80E62"/>
    <w:rsid w:val="00D961D6"/>
    <w:rsid w:val="00DB2C68"/>
    <w:rsid w:val="00DB7697"/>
    <w:rsid w:val="00DC137D"/>
    <w:rsid w:val="00DC3478"/>
    <w:rsid w:val="00DD39E7"/>
    <w:rsid w:val="00DF7EAD"/>
    <w:rsid w:val="00E03C98"/>
    <w:rsid w:val="00E05A41"/>
    <w:rsid w:val="00E1048E"/>
    <w:rsid w:val="00E135A6"/>
    <w:rsid w:val="00E14DA0"/>
    <w:rsid w:val="00E3428B"/>
    <w:rsid w:val="00E45941"/>
    <w:rsid w:val="00E65A15"/>
    <w:rsid w:val="00E97990"/>
    <w:rsid w:val="00EA5BD6"/>
    <w:rsid w:val="00EC4128"/>
    <w:rsid w:val="00EC6005"/>
    <w:rsid w:val="00ED03BA"/>
    <w:rsid w:val="00EE467E"/>
    <w:rsid w:val="00EF124F"/>
    <w:rsid w:val="00EF6868"/>
    <w:rsid w:val="00F1009A"/>
    <w:rsid w:val="00F100FE"/>
    <w:rsid w:val="00F47473"/>
    <w:rsid w:val="00F51101"/>
    <w:rsid w:val="00F54419"/>
    <w:rsid w:val="00F617C6"/>
    <w:rsid w:val="00F67669"/>
    <w:rsid w:val="00F70F16"/>
    <w:rsid w:val="00F73679"/>
    <w:rsid w:val="00F80269"/>
    <w:rsid w:val="00FC31EF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59E9A-D792-4D21-82FD-31DE0824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08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E9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06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D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2B0D"/>
  </w:style>
  <w:style w:type="paragraph" w:styleId="aa">
    <w:name w:val="footer"/>
    <w:basedOn w:val="a"/>
    <w:link w:val="ab"/>
    <w:uiPriority w:val="99"/>
    <w:unhideWhenUsed/>
    <w:rsid w:val="006D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gulation.gov@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8E3E-F7A5-47DD-B8F0-97DD3C55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Анастасия Александровна</dc:creator>
  <cp:lastModifiedBy>Кислякова Людмила Сергеевна</cp:lastModifiedBy>
  <cp:revision>85</cp:revision>
  <cp:lastPrinted>2017-07-05T08:07:00Z</cp:lastPrinted>
  <dcterms:created xsi:type="dcterms:W3CDTF">2017-07-05T08:05:00Z</dcterms:created>
  <dcterms:modified xsi:type="dcterms:W3CDTF">2019-03-05T09:17:00Z</dcterms:modified>
</cp:coreProperties>
</file>